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BC4C" w14:textId="6D33BC61" w:rsidR="00360C24" w:rsidRPr="001E3884" w:rsidRDefault="001E3884" w:rsidP="00360C24">
      <w:pPr>
        <w:spacing w:before="280" w:after="280"/>
        <w:jc w:val="center"/>
        <w:rPr>
          <w:rFonts w:ascii="Arial" w:hAnsi="Arial" w:cs="Arial"/>
          <w:b/>
          <w:bCs/>
        </w:rPr>
      </w:pPr>
      <w:r w:rsidRPr="001E3884">
        <w:rPr>
          <w:rFonts w:ascii="Arial" w:hAnsi="Arial" w:cs="Arial"/>
          <w:b/>
        </w:rPr>
        <w:t xml:space="preserve">Infection Prevention and Control </w:t>
      </w:r>
      <w:r w:rsidRPr="001E3884">
        <w:rPr>
          <w:rFonts w:ascii="Arial" w:hAnsi="Arial" w:cs="Arial"/>
          <w:b/>
        </w:rPr>
        <w:t>(</w:t>
      </w:r>
      <w:r>
        <w:rPr>
          <w:rFonts w:ascii="Arial" w:hAnsi="Arial" w:cs="Arial"/>
          <w:b/>
        </w:rPr>
        <w:t>IPC</w:t>
      </w:r>
      <w:r w:rsidRPr="001E3884">
        <w:rPr>
          <w:rFonts w:ascii="Arial" w:hAnsi="Arial" w:cs="Arial"/>
          <w:b/>
          <w:bCs/>
        </w:rPr>
        <w:t>)</w:t>
      </w:r>
      <w:r w:rsidR="00360C24" w:rsidRPr="001E3884">
        <w:rPr>
          <w:rFonts w:ascii="Arial" w:hAnsi="Arial" w:cs="Arial"/>
          <w:b/>
          <w:bCs/>
        </w:rPr>
        <w:t xml:space="preserve"> </w:t>
      </w:r>
      <w:r>
        <w:rPr>
          <w:rFonts w:ascii="Arial" w:hAnsi="Arial" w:cs="Arial"/>
          <w:b/>
          <w:bCs/>
        </w:rPr>
        <w:t>A</w:t>
      </w:r>
      <w:r w:rsidR="00360C24" w:rsidRPr="001E3884">
        <w:rPr>
          <w:rFonts w:ascii="Arial" w:hAnsi="Arial" w:cs="Arial"/>
          <w:b/>
          <w:bCs/>
        </w:rPr>
        <w:t>nnual Statement</w:t>
      </w:r>
    </w:p>
    <w:p w14:paraId="3B677E06" w14:textId="77777777" w:rsidR="00EF6FE5" w:rsidRDefault="00EF6FE5" w:rsidP="00EF6FE5">
      <w:pPr>
        <w:spacing w:before="280" w:after="280"/>
        <w:rPr>
          <w:rFonts w:ascii="Arial" w:hAnsi="Arial" w:cs="Arial"/>
          <w:b/>
        </w:rPr>
      </w:pPr>
      <w:r>
        <w:rPr>
          <w:rFonts w:ascii="Arial" w:hAnsi="Arial" w:cs="Arial"/>
          <w:b/>
        </w:rPr>
        <w:t xml:space="preserve">Purpose  </w:t>
      </w:r>
    </w:p>
    <w:p w14:paraId="0C5A898B" w14:textId="5A7D5E4E" w:rsidR="00EF6FE5" w:rsidRDefault="00EF6FE5" w:rsidP="00EF6FE5">
      <w:pPr>
        <w:spacing w:before="280" w:after="280"/>
      </w:pPr>
      <w:r>
        <w:rPr>
          <w:rFonts w:ascii="Arial" w:hAnsi="Arial" w:cs="Arial"/>
          <w:sz w:val="22"/>
          <w:szCs w:val="22"/>
        </w:rPr>
        <w:t>This annual statement will be generated each year</w:t>
      </w:r>
      <w:r w:rsidR="001E3884">
        <w:rPr>
          <w:rFonts w:ascii="Arial" w:hAnsi="Arial" w:cs="Arial"/>
          <w:sz w:val="22"/>
          <w:szCs w:val="22"/>
        </w:rPr>
        <w:t xml:space="preserve"> </w:t>
      </w:r>
      <w:r>
        <w:rPr>
          <w:rFonts w:ascii="Arial" w:hAnsi="Arial" w:cs="Arial"/>
          <w:sz w:val="22"/>
          <w:szCs w:val="22"/>
        </w:rPr>
        <w:t xml:space="preserve">in accordance with the requirements of the </w:t>
      </w:r>
      <w:hyperlink r:id="rId7">
        <w:r>
          <w:rPr>
            <w:rStyle w:val="Hyperlink"/>
            <w:rFonts w:ascii="Arial" w:eastAsiaTheme="majorEastAsia"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14:paraId="085B596A" w14:textId="77777777" w:rsidR="00EF6FE5" w:rsidRDefault="00EF6FE5" w:rsidP="00EF6FE5">
      <w:pPr>
        <w:pStyle w:val="ListParagraph"/>
        <w:numPr>
          <w:ilvl w:val="0"/>
          <w:numId w:val="2"/>
        </w:numPr>
        <w:spacing w:before="280" w:after="280"/>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3381E8A9" w14:textId="77777777" w:rsidR="00EF6FE5" w:rsidRDefault="00EF6FE5" w:rsidP="00EF6FE5">
      <w:pPr>
        <w:pStyle w:val="ListParagraph"/>
        <w:numPr>
          <w:ilvl w:val="0"/>
          <w:numId w:val="2"/>
        </w:numPr>
        <w:rPr>
          <w:rFonts w:ascii="Arial" w:hAnsi="Arial" w:cs="Arial"/>
          <w:sz w:val="22"/>
          <w:szCs w:val="22"/>
        </w:rPr>
      </w:pPr>
      <w:r>
        <w:rPr>
          <w:rFonts w:ascii="Arial" w:hAnsi="Arial" w:cs="Arial"/>
          <w:sz w:val="22"/>
          <w:szCs w:val="22"/>
        </w:rPr>
        <w:t xml:space="preserve">Details of any infection control audits undertaken, and actions undertaken </w:t>
      </w:r>
    </w:p>
    <w:p w14:paraId="19C77B3B" w14:textId="77777777" w:rsidR="00EF6FE5" w:rsidRDefault="00EF6FE5" w:rsidP="00EF6FE5">
      <w:pPr>
        <w:pStyle w:val="ListParagraph"/>
        <w:numPr>
          <w:ilvl w:val="0"/>
          <w:numId w:val="2"/>
        </w:numPr>
        <w:rPr>
          <w:rFonts w:ascii="Arial" w:hAnsi="Arial" w:cs="Arial"/>
          <w:sz w:val="22"/>
          <w:szCs w:val="22"/>
        </w:rPr>
      </w:pPr>
      <w:r>
        <w:rPr>
          <w:rFonts w:ascii="Arial" w:hAnsi="Arial" w:cs="Arial"/>
          <w:sz w:val="22"/>
          <w:szCs w:val="22"/>
        </w:rPr>
        <w:t>Details of any risk assessments undertaken for the prevention and control of infection</w:t>
      </w:r>
    </w:p>
    <w:p w14:paraId="14CF4620" w14:textId="77777777" w:rsidR="00EF6FE5" w:rsidRDefault="00EF6FE5" w:rsidP="00EF6FE5">
      <w:pPr>
        <w:pStyle w:val="ListParagraph"/>
        <w:numPr>
          <w:ilvl w:val="0"/>
          <w:numId w:val="2"/>
        </w:numPr>
        <w:rPr>
          <w:rFonts w:ascii="Arial" w:hAnsi="Arial" w:cs="Arial"/>
          <w:sz w:val="22"/>
          <w:szCs w:val="22"/>
        </w:rPr>
      </w:pPr>
      <w:r>
        <w:rPr>
          <w:rFonts w:ascii="Arial" w:hAnsi="Arial" w:cs="Arial"/>
          <w:sz w:val="22"/>
          <w:szCs w:val="22"/>
        </w:rPr>
        <w:t xml:space="preserve">Details of staff training </w:t>
      </w:r>
    </w:p>
    <w:p w14:paraId="6EC1FC3C" w14:textId="77777777" w:rsidR="00EF6FE5" w:rsidRDefault="00EF6FE5" w:rsidP="00EF6FE5">
      <w:pPr>
        <w:pStyle w:val="ListParagraph"/>
        <w:numPr>
          <w:ilvl w:val="0"/>
          <w:numId w:val="2"/>
        </w:numPr>
        <w:spacing w:after="280"/>
        <w:rPr>
          <w:rFonts w:ascii="Arial" w:hAnsi="Arial" w:cs="Arial"/>
          <w:sz w:val="22"/>
          <w:szCs w:val="22"/>
        </w:rPr>
      </w:pPr>
      <w:r>
        <w:rPr>
          <w:rFonts w:ascii="Arial" w:hAnsi="Arial" w:cs="Arial"/>
          <w:sz w:val="22"/>
          <w:szCs w:val="22"/>
        </w:rPr>
        <w:t xml:space="preserve">Any review and update of policies, procedures, and guidelines  </w:t>
      </w:r>
    </w:p>
    <w:p w14:paraId="22F675FF" w14:textId="77777777" w:rsidR="00EF6FE5" w:rsidRDefault="00EF6FE5" w:rsidP="00EF6FE5">
      <w:pPr>
        <w:rPr>
          <w:rFonts w:ascii="Arial" w:hAnsi="Arial" w:cs="Arial"/>
          <w:b/>
        </w:rPr>
      </w:pPr>
      <w:r>
        <w:rPr>
          <w:rFonts w:ascii="Arial" w:hAnsi="Arial" w:cs="Arial"/>
          <w:b/>
        </w:rPr>
        <w:t xml:space="preserve">Infection Prevention and Control (IPC) lead </w:t>
      </w:r>
    </w:p>
    <w:p w14:paraId="2A339455" w14:textId="60F25B5B" w:rsidR="00EF6FE5" w:rsidRDefault="00EF6FE5" w:rsidP="00EF6FE5">
      <w:pPr>
        <w:spacing w:before="280" w:after="280"/>
        <w:rPr>
          <w:rFonts w:ascii="Arial" w:hAnsi="Arial" w:cs="Arial"/>
          <w:sz w:val="22"/>
          <w:szCs w:val="22"/>
        </w:rPr>
      </w:pPr>
      <w:r>
        <w:rPr>
          <w:rFonts w:ascii="Arial" w:hAnsi="Arial" w:cs="Arial"/>
          <w:sz w:val="22"/>
          <w:szCs w:val="22"/>
        </w:rPr>
        <w:t xml:space="preserve">The lead for infection prevention and control is </w:t>
      </w:r>
      <w:r w:rsidR="001E3884">
        <w:rPr>
          <w:rFonts w:ascii="Arial" w:hAnsi="Arial" w:cs="Arial"/>
          <w:sz w:val="22"/>
          <w:szCs w:val="22"/>
        </w:rPr>
        <w:t>The Clinical Manager</w:t>
      </w:r>
      <w:r>
        <w:rPr>
          <w:rFonts w:ascii="Arial" w:hAnsi="Arial" w:cs="Arial"/>
          <w:sz w:val="22"/>
          <w:szCs w:val="22"/>
        </w:rPr>
        <w:t xml:space="preserve">.  </w:t>
      </w:r>
    </w:p>
    <w:p w14:paraId="5EACA25B" w14:textId="52287C64" w:rsidR="00EF6FE5" w:rsidRDefault="00EF6FE5" w:rsidP="00EF6FE5">
      <w:pPr>
        <w:spacing w:before="280" w:after="280"/>
        <w:rPr>
          <w:rFonts w:ascii="Arial" w:hAnsi="Arial" w:cs="Arial"/>
          <w:sz w:val="22"/>
          <w:szCs w:val="22"/>
        </w:rPr>
      </w:pPr>
      <w:r>
        <w:rPr>
          <w:rFonts w:ascii="Arial" w:hAnsi="Arial" w:cs="Arial"/>
          <w:sz w:val="22"/>
          <w:szCs w:val="22"/>
        </w:rPr>
        <w:t>The IPC lead is supported by:</w:t>
      </w:r>
      <w:r w:rsidR="001E3884">
        <w:rPr>
          <w:rFonts w:ascii="Arial" w:hAnsi="Arial" w:cs="Arial"/>
          <w:sz w:val="22"/>
          <w:szCs w:val="22"/>
        </w:rPr>
        <w:t xml:space="preserve"> </w:t>
      </w:r>
    </w:p>
    <w:p w14:paraId="6E364776" w14:textId="31F1F062" w:rsidR="00EF6FE5" w:rsidRDefault="00EF6FE5" w:rsidP="00EF6FE5">
      <w:pPr>
        <w:spacing w:before="280" w:after="280"/>
        <w:rPr>
          <w:rFonts w:ascii="Arial" w:hAnsi="Arial" w:cs="Arial"/>
          <w:b/>
          <w:sz w:val="22"/>
          <w:szCs w:val="22"/>
        </w:rPr>
      </w:pPr>
      <w:r>
        <w:rPr>
          <w:rFonts w:ascii="Arial" w:hAnsi="Arial" w:cs="Arial"/>
          <w:b/>
          <w:sz w:val="22"/>
          <w:szCs w:val="22"/>
        </w:rPr>
        <w:t>a.</w:t>
      </w:r>
      <w:r>
        <w:rPr>
          <w:rFonts w:ascii="Arial" w:hAnsi="Arial" w:cs="Arial"/>
          <w:b/>
          <w:sz w:val="22"/>
          <w:szCs w:val="22"/>
        </w:rPr>
        <w:tab/>
        <w:t>Infection transmission incidents (significant events</w:t>
      </w:r>
      <w:r w:rsidR="00CE790D">
        <w:rPr>
          <w:rFonts w:ascii="Arial" w:hAnsi="Arial" w:cs="Arial"/>
          <w:b/>
          <w:sz w:val="22"/>
          <w:szCs w:val="22"/>
        </w:rPr>
        <w:t xml:space="preserve"> and complaints</w:t>
      </w:r>
      <w:r>
        <w:rPr>
          <w:rFonts w:ascii="Arial" w:hAnsi="Arial" w:cs="Arial"/>
          <w:b/>
          <w:sz w:val="22"/>
          <w:szCs w:val="22"/>
        </w:rPr>
        <w:t xml:space="preserve">) </w:t>
      </w:r>
    </w:p>
    <w:p w14:paraId="3360592D"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Significant events involve examples of good practice as well as challenging events.</w:t>
      </w:r>
    </w:p>
    <w:p w14:paraId="1249EEFD"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14:paraId="39621902"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036624F1" w14:textId="7B78CBD4" w:rsidR="00EF6FE5" w:rsidRDefault="00EF6FE5" w:rsidP="00EF6FE5">
      <w:pPr>
        <w:spacing w:before="280" w:after="280"/>
        <w:ind w:left="709"/>
        <w:rPr>
          <w:rFonts w:ascii="Arial" w:hAnsi="Arial" w:cs="Arial"/>
          <w:sz w:val="22"/>
          <w:szCs w:val="22"/>
        </w:rPr>
      </w:pPr>
      <w:r>
        <w:rPr>
          <w:rFonts w:ascii="Arial" w:hAnsi="Arial" w:cs="Arial"/>
          <w:sz w:val="22"/>
          <w:szCs w:val="22"/>
        </w:rPr>
        <w:t xml:space="preserve">All significant events are reviewed and discussed at </w:t>
      </w:r>
      <w:r w:rsidR="00826428">
        <w:rPr>
          <w:rFonts w:ascii="Arial" w:hAnsi="Arial" w:cs="Arial"/>
          <w:sz w:val="22"/>
          <w:szCs w:val="22"/>
        </w:rPr>
        <w:t>the SE meeting</w:t>
      </w:r>
      <w:r>
        <w:rPr>
          <w:rFonts w:ascii="Arial" w:hAnsi="Arial" w:cs="Arial"/>
          <w:sz w:val="22"/>
          <w:szCs w:val="22"/>
        </w:rPr>
        <w:t xml:space="preserve">. Any learning points are cascaded to all relevant staff where an action plan, including audits or policy review, may follow. </w:t>
      </w:r>
    </w:p>
    <w:p w14:paraId="00A3E269"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 xml:space="preserve">In the past year there have been 0 significant events raised that related to infection control. There have also been 0 complaints made regarding cleanliness or infection control.  </w:t>
      </w:r>
    </w:p>
    <w:p w14:paraId="062053B6" w14:textId="77777777" w:rsidR="00A73984" w:rsidRDefault="00A73984" w:rsidP="00EF6FE5">
      <w:pPr>
        <w:spacing w:before="280" w:after="280"/>
        <w:ind w:left="709"/>
        <w:rPr>
          <w:rFonts w:ascii="Arial" w:hAnsi="Arial" w:cs="Arial"/>
          <w:sz w:val="22"/>
          <w:szCs w:val="22"/>
        </w:rPr>
      </w:pPr>
    </w:p>
    <w:p w14:paraId="03668074" w14:textId="77777777" w:rsidR="00A73984" w:rsidRDefault="00A73984" w:rsidP="00EF6FE5">
      <w:pPr>
        <w:spacing w:before="280" w:after="280"/>
        <w:ind w:left="709"/>
        <w:rPr>
          <w:rFonts w:ascii="Arial" w:hAnsi="Arial" w:cs="Arial"/>
          <w:sz w:val="22"/>
          <w:szCs w:val="22"/>
        </w:rPr>
      </w:pPr>
    </w:p>
    <w:p w14:paraId="2A3173BE" w14:textId="77777777" w:rsidR="00EF6FE5" w:rsidRDefault="00EF6FE5" w:rsidP="00EF6FE5">
      <w:pPr>
        <w:spacing w:before="280" w:after="280"/>
        <w:ind w:left="709"/>
        <w:rPr>
          <w:rFonts w:ascii="Arial" w:hAnsi="Arial" w:cs="Arial"/>
          <w:sz w:val="22"/>
          <w:szCs w:val="22"/>
        </w:rPr>
      </w:pPr>
    </w:p>
    <w:p w14:paraId="46321033" w14:textId="77777777" w:rsidR="00EF6FE5" w:rsidRDefault="00EF6FE5" w:rsidP="00EF6FE5">
      <w:pPr>
        <w:spacing w:before="280" w:after="280"/>
        <w:rPr>
          <w:rFonts w:ascii="Arial" w:hAnsi="Arial" w:cs="Arial"/>
          <w:b/>
          <w:sz w:val="22"/>
          <w:szCs w:val="22"/>
        </w:rPr>
      </w:pPr>
      <w:r>
        <w:rPr>
          <w:rFonts w:ascii="Arial" w:hAnsi="Arial" w:cs="Arial"/>
          <w:b/>
          <w:sz w:val="22"/>
          <w:szCs w:val="22"/>
        </w:rPr>
        <w:lastRenderedPageBreak/>
        <w:t>b.</w:t>
      </w:r>
      <w:r>
        <w:rPr>
          <w:rFonts w:ascii="Arial" w:hAnsi="Arial" w:cs="Arial"/>
          <w:b/>
          <w:sz w:val="22"/>
          <w:szCs w:val="22"/>
        </w:rPr>
        <w:tab/>
        <w:t xml:space="preserve">Infection prevention audit and actions </w:t>
      </w:r>
    </w:p>
    <w:p w14:paraId="09A44125" w14:textId="71BF90FE" w:rsidR="00EF6FE5" w:rsidRDefault="00EF6FE5" w:rsidP="00EF6FE5">
      <w:pPr>
        <w:spacing w:before="280" w:after="280"/>
        <w:ind w:left="709"/>
        <w:rPr>
          <w:rFonts w:ascii="Arial" w:hAnsi="Arial" w:cs="Arial"/>
          <w:sz w:val="22"/>
          <w:szCs w:val="22"/>
        </w:rPr>
      </w:pPr>
      <w:r>
        <w:rPr>
          <w:rFonts w:ascii="Arial" w:hAnsi="Arial" w:cs="Arial"/>
          <w:sz w:val="22"/>
          <w:szCs w:val="22"/>
        </w:rPr>
        <w:t>Following an outstanding report from CQC in 2016, there were no recommendations relating to infection control or cleanliness of the site at that time. CQC have since been satisfied with the telephone interviews</w:t>
      </w:r>
      <w:r w:rsidR="009A2129">
        <w:rPr>
          <w:rFonts w:ascii="Arial" w:hAnsi="Arial" w:cs="Arial"/>
          <w:sz w:val="22"/>
          <w:szCs w:val="22"/>
        </w:rPr>
        <w:t xml:space="preserve"> and the presentation</w:t>
      </w:r>
      <w:r>
        <w:rPr>
          <w:rFonts w:ascii="Arial" w:hAnsi="Arial" w:cs="Arial"/>
          <w:sz w:val="22"/>
          <w:szCs w:val="22"/>
        </w:rPr>
        <w:t xml:space="preserve"> of requested documents</w:t>
      </w:r>
      <w:r w:rsidR="009A2129">
        <w:rPr>
          <w:rFonts w:ascii="Arial" w:hAnsi="Arial" w:cs="Arial"/>
          <w:sz w:val="22"/>
          <w:szCs w:val="22"/>
        </w:rPr>
        <w:t>.</w:t>
      </w:r>
    </w:p>
    <w:p w14:paraId="7D63E4AE" w14:textId="05D8710D" w:rsidR="00EF6FE5" w:rsidRDefault="00EF6FE5" w:rsidP="00EF6FE5">
      <w:pPr>
        <w:spacing w:before="280" w:after="280"/>
        <w:rPr>
          <w:rFonts w:ascii="Arial" w:hAnsi="Arial" w:cs="Arial"/>
          <w:sz w:val="22"/>
          <w:szCs w:val="22"/>
        </w:rPr>
      </w:pPr>
      <w:r>
        <w:rPr>
          <w:rFonts w:ascii="Arial" w:hAnsi="Arial" w:cs="Arial"/>
          <w:sz w:val="22"/>
          <w:szCs w:val="22"/>
        </w:rPr>
        <w:t xml:space="preserve">           </w:t>
      </w:r>
      <w:r w:rsidR="009A2129">
        <w:rPr>
          <w:rFonts w:ascii="Arial" w:hAnsi="Arial" w:cs="Arial"/>
          <w:sz w:val="22"/>
          <w:szCs w:val="22"/>
        </w:rPr>
        <w:t>A</w:t>
      </w:r>
      <w:r>
        <w:rPr>
          <w:rFonts w:ascii="Arial" w:hAnsi="Arial" w:cs="Arial"/>
          <w:sz w:val="22"/>
          <w:szCs w:val="22"/>
        </w:rPr>
        <w:t>nnual audits including:</w:t>
      </w:r>
    </w:p>
    <w:p w14:paraId="7C48E8E9" w14:textId="796D0420" w:rsidR="00EF6FE5" w:rsidRDefault="00EF6FE5" w:rsidP="00E54630">
      <w:pPr>
        <w:pStyle w:val="ListParagraph"/>
        <w:numPr>
          <w:ilvl w:val="0"/>
          <w:numId w:val="7"/>
        </w:numPr>
        <w:spacing w:before="280" w:after="280"/>
        <w:rPr>
          <w:rFonts w:ascii="Arial" w:hAnsi="Arial" w:cs="Arial"/>
          <w:sz w:val="22"/>
          <w:szCs w:val="22"/>
        </w:rPr>
      </w:pPr>
      <w:r>
        <w:rPr>
          <w:rFonts w:ascii="Arial" w:hAnsi="Arial" w:cs="Arial"/>
          <w:sz w:val="22"/>
          <w:szCs w:val="22"/>
        </w:rPr>
        <w:t xml:space="preserve">Hand hygiene audit- </w:t>
      </w:r>
      <w:r w:rsidR="00CC72EA">
        <w:rPr>
          <w:rFonts w:ascii="Arial" w:hAnsi="Arial" w:cs="Arial"/>
          <w:sz w:val="22"/>
          <w:szCs w:val="22"/>
        </w:rPr>
        <w:t>All staff undertake this audit</w:t>
      </w:r>
      <w:r>
        <w:rPr>
          <w:rFonts w:ascii="Arial" w:hAnsi="Arial" w:cs="Arial"/>
          <w:sz w:val="22"/>
          <w:szCs w:val="22"/>
        </w:rPr>
        <w:t>.</w:t>
      </w:r>
    </w:p>
    <w:p w14:paraId="425BD4E4" w14:textId="7C1BF3CF" w:rsidR="00A73984" w:rsidRPr="00293908" w:rsidRDefault="00EF6FE5" w:rsidP="000C1291">
      <w:pPr>
        <w:pStyle w:val="ListParagraph"/>
        <w:numPr>
          <w:ilvl w:val="0"/>
          <w:numId w:val="7"/>
        </w:numPr>
        <w:spacing w:before="280" w:after="280"/>
        <w:rPr>
          <w:rFonts w:ascii="Arial" w:hAnsi="Arial" w:cs="Arial"/>
          <w:sz w:val="22"/>
          <w:szCs w:val="22"/>
        </w:rPr>
      </w:pPr>
      <w:r w:rsidRPr="00293908">
        <w:rPr>
          <w:rFonts w:ascii="Arial" w:hAnsi="Arial" w:cs="Arial"/>
          <w:sz w:val="22"/>
          <w:szCs w:val="22"/>
        </w:rPr>
        <w:t>Infection prevention and control s</w:t>
      </w:r>
      <w:r w:rsidR="00D80628" w:rsidRPr="00293908">
        <w:rPr>
          <w:rFonts w:ascii="Arial" w:hAnsi="Arial" w:cs="Arial"/>
          <w:sz w:val="22"/>
          <w:szCs w:val="22"/>
        </w:rPr>
        <w:t xml:space="preserve">ite </w:t>
      </w:r>
      <w:r w:rsidRPr="00293908">
        <w:rPr>
          <w:rFonts w:ascii="Arial" w:hAnsi="Arial" w:cs="Arial"/>
          <w:sz w:val="22"/>
          <w:szCs w:val="22"/>
        </w:rPr>
        <w:t xml:space="preserve">audits.  </w:t>
      </w:r>
    </w:p>
    <w:p w14:paraId="250AF11B" w14:textId="77777777" w:rsidR="00A73984" w:rsidRPr="00A73984" w:rsidRDefault="00A73984" w:rsidP="00A73984">
      <w:pPr>
        <w:spacing w:before="280" w:after="280"/>
        <w:rPr>
          <w:rFonts w:ascii="Arial" w:hAnsi="Arial" w:cs="Arial"/>
          <w:sz w:val="22"/>
          <w:szCs w:val="22"/>
        </w:rPr>
      </w:pPr>
    </w:p>
    <w:p w14:paraId="1D021E7D" w14:textId="77777777" w:rsidR="00EF6FE5" w:rsidRDefault="00EF6FE5" w:rsidP="00EF6FE5">
      <w:pPr>
        <w:spacing w:before="280" w:after="280"/>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75586FB5"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5CC26BD6"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29AFDEF7" w14:textId="769F3EF7" w:rsidR="00EF6FE5" w:rsidRDefault="005D21FE" w:rsidP="00EF6FE5">
      <w:pPr>
        <w:pStyle w:val="ListParagraph"/>
        <w:numPr>
          <w:ilvl w:val="0"/>
          <w:numId w:val="1"/>
        </w:numPr>
        <w:rPr>
          <w:rFonts w:ascii="Arial" w:hAnsi="Arial" w:cs="Arial"/>
          <w:sz w:val="22"/>
          <w:szCs w:val="22"/>
        </w:rPr>
      </w:pPr>
      <w:r>
        <w:rPr>
          <w:rFonts w:ascii="Arial" w:hAnsi="Arial" w:cs="Arial"/>
          <w:sz w:val="22"/>
          <w:szCs w:val="22"/>
        </w:rPr>
        <w:t xml:space="preserve">Ongoing risk assessment to ensure </w:t>
      </w:r>
      <w:r w:rsidR="002A78D1">
        <w:rPr>
          <w:rFonts w:ascii="Arial" w:hAnsi="Arial" w:cs="Arial"/>
          <w:sz w:val="22"/>
          <w:szCs w:val="22"/>
        </w:rPr>
        <w:t>a</w:t>
      </w:r>
      <w:r w:rsidR="00EF6FE5">
        <w:rPr>
          <w:rFonts w:ascii="Arial" w:hAnsi="Arial" w:cs="Arial"/>
          <w:sz w:val="22"/>
          <w:szCs w:val="22"/>
        </w:rPr>
        <w:t xml:space="preserve"> high standard of cleanliness </w:t>
      </w:r>
      <w:r w:rsidR="002A78D1">
        <w:rPr>
          <w:rFonts w:ascii="Arial" w:hAnsi="Arial" w:cs="Arial"/>
          <w:sz w:val="22"/>
          <w:szCs w:val="22"/>
        </w:rPr>
        <w:t>relating to COV</w:t>
      </w:r>
      <w:r w:rsidR="004208F3">
        <w:rPr>
          <w:rFonts w:ascii="Arial" w:hAnsi="Arial" w:cs="Arial"/>
          <w:sz w:val="22"/>
          <w:szCs w:val="22"/>
        </w:rPr>
        <w:t>ID</w:t>
      </w:r>
      <w:r w:rsidR="002A78D1">
        <w:rPr>
          <w:rFonts w:ascii="Arial" w:hAnsi="Arial" w:cs="Arial"/>
          <w:sz w:val="22"/>
          <w:szCs w:val="22"/>
        </w:rPr>
        <w:t>-19 and Influenza</w:t>
      </w:r>
      <w:r w:rsidR="004208F3">
        <w:rPr>
          <w:rFonts w:ascii="Arial" w:hAnsi="Arial" w:cs="Arial"/>
          <w:sz w:val="22"/>
          <w:szCs w:val="22"/>
        </w:rPr>
        <w:t xml:space="preserve">, </w:t>
      </w:r>
      <w:r w:rsidR="00EF6FE5">
        <w:rPr>
          <w:rFonts w:ascii="Arial" w:hAnsi="Arial" w:cs="Arial"/>
          <w:sz w:val="22"/>
          <w:szCs w:val="22"/>
        </w:rPr>
        <w:t>adopt</w:t>
      </w:r>
      <w:r w:rsidR="004208F3">
        <w:rPr>
          <w:rFonts w:ascii="Arial" w:hAnsi="Arial" w:cs="Arial"/>
          <w:sz w:val="22"/>
          <w:szCs w:val="22"/>
        </w:rPr>
        <w:t>ing</w:t>
      </w:r>
      <w:r w:rsidR="00EF6FE5">
        <w:rPr>
          <w:rFonts w:ascii="Arial" w:hAnsi="Arial" w:cs="Arial"/>
          <w:sz w:val="22"/>
          <w:szCs w:val="22"/>
        </w:rPr>
        <w:t xml:space="preserve"> the national Standard Operating Procedure as published by NHS England and strictly followed all guidance published frequently by Public Health England throughout the pandemic.  Extra precautions have been taken to minimise the risk of COVID-19</w:t>
      </w:r>
      <w:r w:rsidR="00BB447D">
        <w:rPr>
          <w:rFonts w:ascii="Arial" w:hAnsi="Arial" w:cs="Arial"/>
          <w:sz w:val="22"/>
          <w:szCs w:val="22"/>
        </w:rPr>
        <w:t xml:space="preserve"> and Influenza</w:t>
      </w:r>
      <w:r w:rsidR="00EF6FE5">
        <w:rPr>
          <w:rFonts w:ascii="Arial" w:hAnsi="Arial" w:cs="Arial"/>
          <w:sz w:val="22"/>
          <w:szCs w:val="22"/>
        </w:rPr>
        <w:t xml:space="preserve"> to both staff and patients. Increased personal protective equipment has been obtained and worn in accordance with the national guidelines. </w:t>
      </w:r>
    </w:p>
    <w:p w14:paraId="5B09649F" w14:textId="77777777" w:rsidR="00EF6FE5" w:rsidRDefault="00EF6FE5" w:rsidP="00EF6FE5">
      <w:pPr>
        <w:rPr>
          <w:rFonts w:ascii="Arial" w:hAnsi="Arial" w:cs="Arial"/>
          <w:sz w:val="22"/>
          <w:szCs w:val="22"/>
        </w:rPr>
      </w:pPr>
    </w:p>
    <w:p w14:paraId="12661F20" w14:textId="5F33FBB0" w:rsidR="00EF6FE5" w:rsidRDefault="00EF6FE5" w:rsidP="00EF6FE5">
      <w:pPr>
        <w:pStyle w:val="ListParagraph"/>
        <w:numPr>
          <w:ilvl w:val="0"/>
          <w:numId w:val="1"/>
        </w:numPr>
        <w:rPr>
          <w:rFonts w:ascii="Arial" w:hAnsi="Arial" w:cs="Arial"/>
          <w:sz w:val="22"/>
          <w:szCs w:val="22"/>
        </w:rPr>
      </w:pPr>
      <w:r>
        <w:rPr>
          <w:rFonts w:ascii="Arial" w:hAnsi="Arial" w:cs="Arial"/>
          <w:sz w:val="22"/>
          <w:szCs w:val="22"/>
        </w:rPr>
        <w:t>Legionella (water) risk assessment:  The practic</w:t>
      </w:r>
      <w:r w:rsidR="004C18FF">
        <w:rPr>
          <w:rFonts w:ascii="Arial" w:hAnsi="Arial" w:cs="Arial"/>
          <w:sz w:val="22"/>
          <w:szCs w:val="22"/>
        </w:rPr>
        <w:t xml:space="preserve">es landlord </w:t>
      </w:r>
      <w:r>
        <w:rPr>
          <w:rFonts w:ascii="Arial" w:hAnsi="Arial" w:cs="Arial"/>
          <w:sz w:val="22"/>
          <w:szCs w:val="22"/>
        </w:rPr>
        <w:t>sub-contracts an external company to perform a full risk assessment</w:t>
      </w:r>
      <w:r w:rsidR="00BB447D">
        <w:rPr>
          <w:rFonts w:ascii="Arial" w:hAnsi="Arial" w:cs="Arial"/>
          <w:sz w:val="22"/>
          <w:szCs w:val="22"/>
        </w:rPr>
        <w:t>.</w:t>
      </w:r>
    </w:p>
    <w:p w14:paraId="72C4CFA9" w14:textId="77777777" w:rsidR="00EF6FE5" w:rsidRDefault="00EF6FE5" w:rsidP="00EF6FE5">
      <w:pPr>
        <w:rPr>
          <w:rFonts w:ascii="Arial" w:hAnsi="Arial" w:cs="Arial"/>
          <w:sz w:val="22"/>
          <w:szCs w:val="22"/>
        </w:rPr>
      </w:pPr>
    </w:p>
    <w:p w14:paraId="035F79B7" w14:textId="22F86BCE" w:rsidR="00EF6FE5" w:rsidRDefault="00EF6FE5" w:rsidP="00EF6FE5">
      <w:pPr>
        <w:pStyle w:val="ListParagraph"/>
        <w:numPr>
          <w:ilvl w:val="0"/>
          <w:numId w:val="1"/>
        </w:numPr>
        <w:rPr>
          <w:rFonts w:ascii="Arial" w:hAnsi="Arial" w:cs="Arial"/>
          <w:sz w:val="22"/>
          <w:szCs w:val="22"/>
        </w:rPr>
      </w:pPr>
      <w:r>
        <w:rPr>
          <w:rFonts w:ascii="Arial" w:hAnsi="Arial" w:cs="Arial"/>
          <w:sz w:val="22"/>
          <w:szCs w:val="22"/>
        </w:rPr>
        <w:t xml:space="preserve">Immunisation: As a practice we ensure that all out staff are up to date with </w:t>
      </w:r>
      <w:r w:rsidR="00113937">
        <w:rPr>
          <w:rFonts w:ascii="Arial" w:hAnsi="Arial" w:cs="Arial"/>
          <w:sz w:val="22"/>
          <w:szCs w:val="22"/>
        </w:rPr>
        <w:t>all their vaccinations</w:t>
      </w:r>
      <w:r>
        <w:rPr>
          <w:rFonts w:ascii="Arial" w:hAnsi="Arial" w:cs="Arial"/>
          <w:sz w:val="22"/>
          <w:szCs w:val="22"/>
        </w:rPr>
        <w:t xml:space="preserve"> appropriate to their role (i.e. MMR, seasonal flu).  We have continued to take part in all national immunisation campaigns for patients and offer vaccinations in house and via home visits to our patient population.  This year we have continued to deliver a comprehensive and popular covid-19 vaccination programme in accordance with the national </w:t>
      </w:r>
      <w:r w:rsidR="0062212B">
        <w:rPr>
          <w:rFonts w:ascii="Arial" w:hAnsi="Arial" w:cs="Arial"/>
          <w:sz w:val="22"/>
          <w:szCs w:val="22"/>
        </w:rPr>
        <w:t>timeframe</w:t>
      </w:r>
      <w:r>
        <w:rPr>
          <w:rFonts w:ascii="Arial" w:hAnsi="Arial" w:cs="Arial"/>
          <w:sz w:val="22"/>
          <w:szCs w:val="22"/>
        </w:rPr>
        <w:t xml:space="preserve"> for patient cohorts, </w:t>
      </w:r>
      <w:r w:rsidR="00FE3222">
        <w:rPr>
          <w:rFonts w:ascii="Arial" w:hAnsi="Arial" w:cs="Arial"/>
          <w:sz w:val="22"/>
          <w:szCs w:val="22"/>
        </w:rPr>
        <w:t>alongside the RSV</w:t>
      </w:r>
      <w:r w:rsidR="00C52E06">
        <w:rPr>
          <w:rFonts w:ascii="Arial" w:hAnsi="Arial" w:cs="Arial"/>
          <w:sz w:val="22"/>
          <w:szCs w:val="22"/>
        </w:rPr>
        <w:t>, Influenza and Pneumonia</w:t>
      </w:r>
      <w:r>
        <w:rPr>
          <w:rFonts w:ascii="Arial" w:hAnsi="Arial" w:cs="Arial"/>
          <w:sz w:val="22"/>
          <w:szCs w:val="22"/>
        </w:rPr>
        <w:t xml:space="preserve">. </w:t>
      </w:r>
    </w:p>
    <w:p w14:paraId="00CD0394" w14:textId="77777777" w:rsidR="00EF6FE5" w:rsidRDefault="00EF6FE5" w:rsidP="00EF6FE5">
      <w:pPr>
        <w:rPr>
          <w:rFonts w:ascii="Arial" w:hAnsi="Arial" w:cs="Arial"/>
          <w:sz w:val="22"/>
          <w:szCs w:val="22"/>
        </w:rPr>
      </w:pPr>
    </w:p>
    <w:p w14:paraId="540EEAAE" w14:textId="5A321FF9" w:rsidR="00EF6FE5" w:rsidRDefault="00EF6FE5" w:rsidP="00EF6FE5">
      <w:pPr>
        <w:pStyle w:val="ListParagraph"/>
        <w:numPr>
          <w:ilvl w:val="0"/>
          <w:numId w:val="1"/>
        </w:numPr>
      </w:pPr>
      <w:r>
        <w:rPr>
          <w:rFonts w:ascii="Arial" w:hAnsi="Arial" w:cs="Arial"/>
          <w:sz w:val="22"/>
          <w:szCs w:val="22"/>
        </w:rPr>
        <w:t xml:space="preserve">Curtains:  The NHS cleaning specifications state the curtains should be replaced every 6 months.  To the effect we use disposable curtains and ensure they are changed every 6 months.  The window blinds are low risk and therefore do not </w:t>
      </w:r>
      <w:r w:rsidR="001A2EC3">
        <w:rPr>
          <w:rFonts w:ascii="Arial" w:hAnsi="Arial" w:cs="Arial"/>
          <w:sz w:val="22"/>
          <w:szCs w:val="22"/>
        </w:rPr>
        <w:t>require</w:t>
      </w:r>
      <w:r>
        <w:rPr>
          <w:rFonts w:ascii="Arial" w:hAnsi="Arial" w:cs="Arial"/>
          <w:sz w:val="22"/>
          <w:szCs w:val="22"/>
        </w:rPr>
        <w:t xml:space="preserve"> a particular cleaning regime other than regular wiping to prevent build-up of dust.  </w:t>
      </w:r>
    </w:p>
    <w:p w14:paraId="5B4DEB9A" w14:textId="77777777" w:rsidR="00EF6FE5" w:rsidRDefault="00EF6FE5" w:rsidP="00EF6FE5">
      <w:pPr>
        <w:rPr>
          <w:rFonts w:ascii="Arial" w:hAnsi="Arial" w:cs="Arial"/>
          <w:sz w:val="22"/>
          <w:szCs w:val="22"/>
        </w:rPr>
      </w:pPr>
    </w:p>
    <w:p w14:paraId="34AF8366" w14:textId="342157C2" w:rsidR="001A2EC3" w:rsidRDefault="00EF6FE5" w:rsidP="001A2EC3">
      <w:pPr>
        <w:pStyle w:val="ListParagraph"/>
        <w:numPr>
          <w:ilvl w:val="0"/>
          <w:numId w:val="3"/>
        </w:numPr>
        <w:spacing w:before="280" w:after="280"/>
        <w:rPr>
          <w:rFonts w:ascii="Arial" w:hAnsi="Arial" w:cs="Arial"/>
          <w:sz w:val="22"/>
          <w:szCs w:val="22"/>
        </w:rPr>
      </w:pPr>
      <w:r>
        <w:rPr>
          <w:rFonts w:ascii="Arial" w:hAnsi="Arial" w:cs="Arial"/>
          <w:sz w:val="22"/>
          <w:szCs w:val="22"/>
        </w:rPr>
        <w:t xml:space="preserve">COSHH: The sub-contracted cleaners do an annual risk assessment of the cleaning products used by them to clean the building, to ensure they comply with CQC and infection control recommendations.  They have complied with the new regulations for </w:t>
      </w:r>
      <w:r>
        <w:rPr>
          <w:rFonts w:ascii="Arial" w:hAnsi="Arial" w:cs="Arial"/>
          <w:sz w:val="22"/>
          <w:szCs w:val="22"/>
        </w:rPr>
        <w:lastRenderedPageBreak/>
        <w:t xml:space="preserve">deep cleaning as per Public Health England in line with the current COVID-19 guidance.  Any additional products used within the surgery have all been COSHH risk assessed as per </w:t>
      </w:r>
      <w:r w:rsidR="001A2EC3">
        <w:rPr>
          <w:rFonts w:ascii="Arial" w:hAnsi="Arial" w:cs="Arial"/>
          <w:sz w:val="22"/>
          <w:szCs w:val="22"/>
        </w:rPr>
        <w:t>regulations.</w:t>
      </w:r>
    </w:p>
    <w:p w14:paraId="6641D039" w14:textId="77777777" w:rsidR="00A73984" w:rsidRDefault="00A73984" w:rsidP="00A73984">
      <w:pPr>
        <w:pStyle w:val="ListParagraph"/>
        <w:spacing w:before="280" w:after="280"/>
        <w:rPr>
          <w:rFonts w:ascii="Arial" w:hAnsi="Arial" w:cs="Arial"/>
          <w:sz w:val="22"/>
          <w:szCs w:val="22"/>
        </w:rPr>
      </w:pPr>
    </w:p>
    <w:p w14:paraId="36093E00" w14:textId="40698DE4" w:rsidR="001A2EC3" w:rsidRPr="001A2EC3" w:rsidRDefault="008502A3" w:rsidP="001A2EC3">
      <w:pPr>
        <w:pStyle w:val="ListParagraph"/>
        <w:numPr>
          <w:ilvl w:val="0"/>
          <w:numId w:val="3"/>
        </w:numPr>
        <w:spacing w:before="280" w:after="280"/>
        <w:rPr>
          <w:rFonts w:ascii="Arial" w:hAnsi="Arial" w:cs="Arial"/>
          <w:sz w:val="22"/>
          <w:szCs w:val="22"/>
        </w:rPr>
      </w:pPr>
      <w:r>
        <w:rPr>
          <w:rFonts w:ascii="Arial" w:hAnsi="Arial" w:cs="Arial"/>
          <w:sz w:val="22"/>
          <w:szCs w:val="22"/>
        </w:rPr>
        <w:t>Carpeted areas-these areas are not open to the public but to staff, these have been audited and changes to be made.</w:t>
      </w:r>
    </w:p>
    <w:p w14:paraId="5C459C52" w14:textId="09EDD4AC" w:rsidR="00EF6FE5" w:rsidRDefault="00EF6FE5" w:rsidP="00EF6FE5">
      <w:pPr>
        <w:spacing w:before="280" w:after="280"/>
        <w:rPr>
          <w:rFonts w:ascii="Arial" w:hAnsi="Arial" w:cs="Arial"/>
          <w:sz w:val="22"/>
          <w:szCs w:val="22"/>
        </w:rPr>
      </w:pPr>
      <w:r>
        <w:rPr>
          <w:rFonts w:ascii="Arial" w:hAnsi="Arial" w:cs="Arial"/>
          <w:sz w:val="22"/>
          <w:szCs w:val="22"/>
        </w:rPr>
        <w:t xml:space="preserve">      </w:t>
      </w:r>
    </w:p>
    <w:p w14:paraId="758AEECC" w14:textId="77777777" w:rsidR="00EF6FE5" w:rsidRDefault="00EF6FE5" w:rsidP="00EF6FE5">
      <w:pPr>
        <w:spacing w:before="280" w:after="280"/>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6DF7EF5C" w14:textId="2A41352A" w:rsidR="00EF6FE5" w:rsidRDefault="00EF6FE5" w:rsidP="00EF6FE5">
      <w:pPr>
        <w:spacing w:before="280" w:after="280"/>
        <w:ind w:left="709"/>
        <w:rPr>
          <w:rFonts w:ascii="Arial" w:hAnsi="Arial" w:cs="Arial"/>
          <w:sz w:val="22"/>
          <w:szCs w:val="22"/>
        </w:rPr>
      </w:pPr>
      <w:r>
        <w:rPr>
          <w:rFonts w:ascii="Arial" w:hAnsi="Arial" w:cs="Arial"/>
          <w:sz w:val="22"/>
          <w:szCs w:val="22"/>
        </w:rPr>
        <w:t>In addition to staff being involved in risk assessments and significant events, all staff and receive IPC induction training on commencing their post. Thereafter, all staff receive refresher training annually.</w:t>
      </w:r>
    </w:p>
    <w:p w14:paraId="1DD425EA" w14:textId="77777777" w:rsidR="00EF6FE5" w:rsidRDefault="00EF6FE5" w:rsidP="00EF6FE5">
      <w:pPr>
        <w:spacing w:before="280" w:after="280"/>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6EBF454A"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updated, or reviewed in the last year include, but are not limited, to: </w:t>
      </w:r>
    </w:p>
    <w:p w14:paraId="3AD22C6E"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Cleaning policy</w:t>
      </w:r>
    </w:p>
    <w:p w14:paraId="2BFF5E3D"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Legionella policy</w:t>
      </w:r>
    </w:p>
    <w:p w14:paraId="7ECF21AC"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Sepsis policy</w:t>
      </w:r>
    </w:p>
    <w:p w14:paraId="6B4BC9AE"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COSHH policy</w:t>
      </w:r>
    </w:p>
    <w:p w14:paraId="61B62D78" w14:textId="64821002" w:rsidR="00563B20" w:rsidRDefault="00563B20" w:rsidP="00EF6FE5">
      <w:pPr>
        <w:spacing w:before="280" w:after="280"/>
        <w:ind w:left="709"/>
        <w:rPr>
          <w:rFonts w:ascii="Arial" w:hAnsi="Arial" w:cs="Arial"/>
          <w:sz w:val="22"/>
          <w:szCs w:val="22"/>
        </w:rPr>
      </w:pPr>
      <w:r>
        <w:rPr>
          <w:rFonts w:ascii="Arial" w:hAnsi="Arial" w:cs="Arial"/>
          <w:sz w:val="22"/>
          <w:szCs w:val="22"/>
        </w:rPr>
        <w:t xml:space="preserve">Immunisation policy </w:t>
      </w:r>
    </w:p>
    <w:p w14:paraId="5584FE56" w14:textId="77777777" w:rsidR="00EF6FE5" w:rsidRDefault="00EF6FE5" w:rsidP="00EF6FE5">
      <w:pPr>
        <w:spacing w:before="280" w:after="280"/>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6A1E1942" w14:textId="77777777" w:rsidR="00EF6FE5" w:rsidRDefault="00EF6FE5" w:rsidP="00EF6FE5">
      <w:pPr>
        <w:spacing w:before="280" w:after="280"/>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1FBBE806" w14:textId="56CD0E55" w:rsidR="00EF6FE5" w:rsidRDefault="00EF6FE5" w:rsidP="00EF6FE5">
      <w:pPr>
        <w:spacing w:before="280" w:after="280"/>
        <w:ind w:left="709"/>
        <w:rPr>
          <w:rFonts w:ascii="Arial" w:hAnsi="Arial" w:cs="Arial"/>
          <w:sz w:val="22"/>
          <w:szCs w:val="22"/>
        </w:rPr>
      </w:pPr>
      <w:r>
        <w:rPr>
          <w:rFonts w:ascii="Arial" w:hAnsi="Arial" w:cs="Arial"/>
          <w:sz w:val="22"/>
          <w:szCs w:val="22"/>
        </w:rPr>
        <w:t xml:space="preserve">It is the responsibility of all staff members to be familiar with this statement and their roles and responsibilities under it.  </w:t>
      </w:r>
    </w:p>
    <w:p w14:paraId="06C0E901" w14:textId="77777777" w:rsidR="00EF6FE5" w:rsidRDefault="00EF6FE5" w:rsidP="00EF6FE5">
      <w:pPr>
        <w:spacing w:before="280" w:after="280"/>
        <w:rPr>
          <w:rFonts w:ascii="Arial" w:hAnsi="Arial" w:cs="Arial"/>
          <w:b/>
          <w:sz w:val="22"/>
          <w:szCs w:val="22"/>
        </w:rPr>
      </w:pPr>
      <w:r>
        <w:rPr>
          <w:rFonts w:ascii="Arial" w:hAnsi="Arial" w:cs="Arial"/>
          <w:b/>
          <w:sz w:val="22"/>
          <w:szCs w:val="22"/>
        </w:rPr>
        <w:t>g.</w:t>
      </w:r>
      <w:r>
        <w:rPr>
          <w:rFonts w:ascii="Arial" w:hAnsi="Arial" w:cs="Arial"/>
          <w:b/>
          <w:sz w:val="22"/>
          <w:szCs w:val="22"/>
        </w:rPr>
        <w:tab/>
        <w:t xml:space="preserve">Review </w:t>
      </w:r>
    </w:p>
    <w:p w14:paraId="31B76F08" w14:textId="2B845CDD" w:rsidR="00EF6FE5" w:rsidRDefault="00EF6FE5" w:rsidP="00EF6FE5">
      <w:pPr>
        <w:spacing w:before="280" w:after="280"/>
        <w:ind w:left="709"/>
      </w:pPr>
      <w:r>
        <w:rPr>
          <w:rFonts w:ascii="Arial" w:hAnsi="Arial" w:cs="Arial"/>
          <w:sz w:val="22"/>
          <w:szCs w:val="22"/>
        </w:rPr>
        <w:t xml:space="preserve">The IPC lead </w:t>
      </w:r>
      <w:r w:rsidR="002D3E83">
        <w:rPr>
          <w:rFonts w:ascii="Arial" w:hAnsi="Arial" w:cs="Arial"/>
          <w:sz w:val="22"/>
          <w:szCs w:val="22"/>
        </w:rPr>
        <w:t xml:space="preserve">is </w:t>
      </w:r>
      <w:r>
        <w:rPr>
          <w:rFonts w:ascii="Arial" w:hAnsi="Arial" w:cs="Arial"/>
          <w:sz w:val="22"/>
          <w:szCs w:val="22"/>
        </w:rPr>
        <w:t xml:space="preserve">responsible for reviewing and producing the annual statement. </w:t>
      </w:r>
    </w:p>
    <w:p w14:paraId="652B4B10" w14:textId="5FF1311C" w:rsidR="00EF6FE5" w:rsidRDefault="00EF6FE5" w:rsidP="00EF6FE5">
      <w:pPr>
        <w:spacing w:before="280" w:after="280"/>
        <w:ind w:left="709"/>
        <w:rPr>
          <w:rFonts w:ascii="Arial" w:hAnsi="Arial" w:cs="Arial"/>
          <w:sz w:val="22"/>
          <w:szCs w:val="22"/>
        </w:rPr>
      </w:pPr>
      <w:r>
        <w:rPr>
          <w:rFonts w:ascii="Arial" w:hAnsi="Arial" w:cs="Arial"/>
          <w:sz w:val="22"/>
          <w:szCs w:val="22"/>
        </w:rPr>
        <w:t xml:space="preserve">This annual statement will be updated </w:t>
      </w:r>
      <w:r w:rsidR="002D3E83">
        <w:rPr>
          <w:rFonts w:ascii="Arial" w:hAnsi="Arial" w:cs="Arial"/>
          <w:sz w:val="22"/>
          <w:szCs w:val="22"/>
        </w:rPr>
        <w:t>in 2025 alongside the annual IPC audit.</w:t>
      </w:r>
    </w:p>
    <w:p w14:paraId="7BE975C2" w14:textId="32D47A54" w:rsidR="00F13BDF" w:rsidRDefault="00F13BDF" w:rsidP="00EF6FE5"/>
    <w:sectPr w:rsidR="00F13B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3BDA" w14:textId="77777777" w:rsidR="002B46BE" w:rsidRDefault="002B46BE" w:rsidP="00360C24">
      <w:r>
        <w:separator/>
      </w:r>
    </w:p>
  </w:endnote>
  <w:endnote w:type="continuationSeparator" w:id="0">
    <w:p w14:paraId="29E43DC3" w14:textId="77777777" w:rsidR="002B46BE" w:rsidRDefault="002B46BE" w:rsidP="0036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15E6" w14:textId="77777777" w:rsidR="002B46BE" w:rsidRDefault="002B46BE" w:rsidP="00360C24">
      <w:r>
        <w:separator/>
      </w:r>
    </w:p>
  </w:footnote>
  <w:footnote w:type="continuationSeparator" w:id="0">
    <w:p w14:paraId="041AC990" w14:textId="77777777" w:rsidR="002B46BE" w:rsidRDefault="002B46BE" w:rsidP="0036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27F" w14:textId="326D867D" w:rsidR="00360C24" w:rsidRDefault="009651C4" w:rsidP="00360C24">
    <w:pPr>
      <w:pStyle w:val="NormalWeb"/>
      <w:jc w:val="center"/>
    </w:pPr>
    <w:r>
      <w:rPr>
        <w:noProof/>
        <w14:ligatures w14:val="standardContextual"/>
      </w:rPr>
      <w:drawing>
        <wp:inline distT="0" distB="0" distL="0" distR="0" wp14:anchorId="2ECD3C5B" wp14:editId="12914BD3">
          <wp:extent cx="1781175" cy="466725"/>
          <wp:effectExtent l="0" t="0" r="9525" b="9525"/>
          <wp:docPr id="1" name="Picture 1" descr="DMP lh logo black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MP lh logo black stra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a:ln>
                    <a:noFill/>
                  </a:ln>
                </pic:spPr>
              </pic:pic>
            </a:graphicData>
          </a:graphic>
        </wp:inline>
      </w:drawing>
    </w:r>
  </w:p>
  <w:p w14:paraId="3A05290B" w14:textId="77777777" w:rsidR="00360C24" w:rsidRDefault="00360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6ED"/>
    <w:multiLevelType w:val="multilevel"/>
    <w:tmpl w:val="DCFAED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854A75"/>
    <w:multiLevelType w:val="multilevel"/>
    <w:tmpl w:val="5AD63C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103315F"/>
    <w:multiLevelType w:val="multilevel"/>
    <w:tmpl w:val="960E2496"/>
    <w:lvl w:ilvl="0">
      <w:start w:val="1"/>
      <w:numFmt w:val="bullet"/>
      <w:lvlText w:val=""/>
      <w:lvlJc w:val="left"/>
      <w:pPr>
        <w:tabs>
          <w:tab w:val="num" w:pos="0"/>
        </w:tabs>
        <w:ind w:left="781" w:hanging="360"/>
      </w:pPr>
      <w:rPr>
        <w:rFonts w:ascii="Symbol" w:hAnsi="Symbol" w:cs="Symbol" w:hint="default"/>
      </w:rPr>
    </w:lvl>
    <w:lvl w:ilvl="1">
      <w:start w:val="1"/>
      <w:numFmt w:val="bullet"/>
      <w:lvlText w:val="o"/>
      <w:lvlJc w:val="left"/>
      <w:pPr>
        <w:tabs>
          <w:tab w:val="num" w:pos="0"/>
        </w:tabs>
        <w:ind w:left="1501" w:hanging="360"/>
      </w:pPr>
      <w:rPr>
        <w:rFonts w:ascii="Courier New" w:hAnsi="Courier New" w:cs="Courier New" w:hint="default"/>
      </w:rPr>
    </w:lvl>
    <w:lvl w:ilvl="2">
      <w:start w:val="1"/>
      <w:numFmt w:val="bullet"/>
      <w:lvlText w:val=""/>
      <w:lvlJc w:val="left"/>
      <w:pPr>
        <w:tabs>
          <w:tab w:val="num" w:pos="0"/>
        </w:tabs>
        <w:ind w:left="2221" w:hanging="360"/>
      </w:pPr>
      <w:rPr>
        <w:rFonts w:ascii="Wingdings" w:hAnsi="Wingdings" w:cs="Wingdings" w:hint="default"/>
      </w:rPr>
    </w:lvl>
    <w:lvl w:ilvl="3">
      <w:start w:val="1"/>
      <w:numFmt w:val="bullet"/>
      <w:lvlText w:val=""/>
      <w:lvlJc w:val="left"/>
      <w:pPr>
        <w:tabs>
          <w:tab w:val="num" w:pos="0"/>
        </w:tabs>
        <w:ind w:left="2941" w:hanging="360"/>
      </w:pPr>
      <w:rPr>
        <w:rFonts w:ascii="Symbol" w:hAnsi="Symbol" w:cs="Symbol" w:hint="default"/>
      </w:rPr>
    </w:lvl>
    <w:lvl w:ilvl="4">
      <w:start w:val="1"/>
      <w:numFmt w:val="bullet"/>
      <w:lvlText w:val="o"/>
      <w:lvlJc w:val="left"/>
      <w:pPr>
        <w:tabs>
          <w:tab w:val="num" w:pos="0"/>
        </w:tabs>
        <w:ind w:left="3661" w:hanging="360"/>
      </w:pPr>
      <w:rPr>
        <w:rFonts w:ascii="Courier New" w:hAnsi="Courier New" w:cs="Courier New" w:hint="default"/>
      </w:rPr>
    </w:lvl>
    <w:lvl w:ilvl="5">
      <w:start w:val="1"/>
      <w:numFmt w:val="bullet"/>
      <w:lvlText w:val=""/>
      <w:lvlJc w:val="left"/>
      <w:pPr>
        <w:tabs>
          <w:tab w:val="num" w:pos="0"/>
        </w:tabs>
        <w:ind w:left="4381" w:hanging="360"/>
      </w:pPr>
      <w:rPr>
        <w:rFonts w:ascii="Wingdings" w:hAnsi="Wingdings" w:cs="Wingdings" w:hint="default"/>
      </w:rPr>
    </w:lvl>
    <w:lvl w:ilvl="6">
      <w:start w:val="1"/>
      <w:numFmt w:val="bullet"/>
      <w:lvlText w:val=""/>
      <w:lvlJc w:val="left"/>
      <w:pPr>
        <w:tabs>
          <w:tab w:val="num" w:pos="0"/>
        </w:tabs>
        <w:ind w:left="5101" w:hanging="360"/>
      </w:pPr>
      <w:rPr>
        <w:rFonts w:ascii="Symbol" w:hAnsi="Symbol" w:cs="Symbol" w:hint="default"/>
      </w:rPr>
    </w:lvl>
    <w:lvl w:ilvl="7">
      <w:start w:val="1"/>
      <w:numFmt w:val="bullet"/>
      <w:lvlText w:val="o"/>
      <w:lvlJc w:val="left"/>
      <w:pPr>
        <w:tabs>
          <w:tab w:val="num" w:pos="0"/>
        </w:tabs>
        <w:ind w:left="5821" w:hanging="360"/>
      </w:pPr>
      <w:rPr>
        <w:rFonts w:ascii="Courier New" w:hAnsi="Courier New" w:cs="Courier New" w:hint="default"/>
      </w:rPr>
    </w:lvl>
    <w:lvl w:ilvl="8">
      <w:start w:val="1"/>
      <w:numFmt w:val="bullet"/>
      <w:lvlText w:val=""/>
      <w:lvlJc w:val="left"/>
      <w:pPr>
        <w:tabs>
          <w:tab w:val="num" w:pos="0"/>
        </w:tabs>
        <w:ind w:left="6541" w:hanging="360"/>
      </w:pPr>
      <w:rPr>
        <w:rFonts w:ascii="Wingdings" w:hAnsi="Wingdings" w:cs="Wingdings" w:hint="default"/>
      </w:rPr>
    </w:lvl>
  </w:abstractNum>
  <w:abstractNum w:abstractNumId="3" w15:restartNumberingAfterBreak="0">
    <w:nsid w:val="5171307F"/>
    <w:multiLevelType w:val="hybridMultilevel"/>
    <w:tmpl w:val="75C214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2042796"/>
    <w:multiLevelType w:val="hybridMultilevel"/>
    <w:tmpl w:val="CBF28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7758F"/>
    <w:multiLevelType w:val="hybridMultilevel"/>
    <w:tmpl w:val="695A3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D4E72"/>
    <w:multiLevelType w:val="multilevel"/>
    <w:tmpl w:val="3C501FE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468713859">
    <w:abstractNumId w:val="0"/>
  </w:num>
  <w:num w:numId="2" w16cid:durableId="1404909042">
    <w:abstractNumId w:val="2"/>
  </w:num>
  <w:num w:numId="3" w16cid:durableId="412288071">
    <w:abstractNumId w:val="1"/>
  </w:num>
  <w:num w:numId="4" w16cid:durableId="534541282">
    <w:abstractNumId w:val="6"/>
  </w:num>
  <w:num w:numId="5" w16cid:durableId="1814055933">
    <w:abstractNumId w:val="5"/>
  </w:num>
  <w:num w:numId="6" w16cid:durableId="1028602195">
    <w:abstractNumId w:val="4"/>
  </w:num>
  <w:num w:numId="7" w16cid:durableId="638919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E5"/>
    <w:rsid w:val="00113937"/>
    <w:rsid w:val="001A2EC3"/>
    <w:rsid w:val="001E3884"/>
    <w:rsid w:val="00207192"/>
    <w:rsid w:val="00293908"/>
    <w:rsid w:val="002A78D1"/>
    <w:rsid w:val="002B46BE"/>
    <w:rsid w:val="002D3E83"/>
    <w:rsid w:val="00360C24"/>
    <w:rsid w:val="00362644"/>
    <w:rsid w:val="004208F3"/>
    <w:rsid w:val="004C18FF"/>
    <w:rsid w:val="00563B20"/>
    <w:rsid w:val="005D21FE"/>
    <w:rsid w:val="0062212B"/>
    <w:rsid w:val="00826428"/>
    <w:rsid w:val="008502A3"/>
    <w:rsid w:val="009651C4"/>
    <w:rsid w:val="009A1094"/>
    <w:rsid w:val="009A2129"/>
    <w:rsid w:val="00A73984"/>
    <w:rsid w:val="00B104B6"/>
    <w:rsid w:val="00B71060"/>
    <w:rsid w:val="00BB447D"/>
    <w:rsid w:val="00C52E06"/>
    <w:rsid w:val="00C8187D"/>
    <w:rsid w:val="00CC72EA"/>
    <w:rsid w:val="00CD06C6"/>
    <w:rsid w:val="00CE790D"/>
    <w:rsid w:val="00D80628"/>
    <w:rsid w:val="00DC38D1"/>
    <w:rsid w:val="00E54630"/>
    <w:rsid w:val="00EF6FE5"/>
    <w:rsid w:val="00F13BDF"/>
    <w:rsid w:val="00F34012"/>
    <w:rsid w:val="00FE3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E753"/>
  <w15:chartTrackingRefBased/>
  <w15:docId w15:val="{66EFB2BE-7202-45C6-9E0A-3CC078C2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E5"/>
    <w:pPr>
      <w:suppressAutoHyphens/>
      <w:overflowPunct w:val="0"/>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EF6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6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F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F6F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F6F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F6F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FE5"/>
    <w:rPr>
      <w:rFonts w:eastAsiaTheme="majorEastAsia" w:cstheme="majorBidi"/>
      <w:color w:val="272727" w:themeColor="text1" w:themeTint="D8"/>
    </w:rPr>
  </w:style>
  <w:style w:type="paragraph" w:styleId="Title">
    <w:name w:val="Title"/>
    <w:basedOn w:val="Normal"/>
    <w:next w:val="Normal"/>
    <w:link w:val="TitleChar"/>
    <w:uiPriority w:val="10"/>
    <w:qFormat/>
    <w:rsid w:val="00EF6F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FE5"/>
    <w:pPr>
      <w:spacing w:before="160"/>
      <w:jc w:val="center"/>
    </w:pPr>
    <w:rPr>
      <w:i/>
      <w:iCs/>
      <w:color w:val="404040" w:themeColor="text1" w:themeTint="BF"/>
    </w:rPr>
  </w:style>
  <w:style w:type="character" w:customStyle="1" w:styleId="QuoteChar">
    <w:name w:val="Quote Char"/>
    <w:basedOn w:val="DefaultParagraphFont"/>
    <w:link w:val="Quote"/>
    <w:uiPriority w:val="29"/>
    <w:rsid w:val="00EF6FE5"/>
    <w:rPr>
      <w:i/>
      <w:iCs/>
      <w:color w:val="404040" w:themeColor="text1" w:themeTint="BF"/>
    </w:rPr>
  </w:style>
  <w:style w:type="paragraph" w:styleId="ListParagraph">
    <w:name w:val="List Paragraph"/>
    <w:basedOn w:val="Normal"/>
    <w:qFormat/>
    <w:rsid w:val="00EF6FE5"/>
    <w:pPr>
      <w:ind w:left="720"/>
      <w:contextualSpacing/>
    </w:pPr>
  </w:style>
  <w:style w:type="character" w:styleId="IntenseEmphasis">
    <w:name w:val="Intense Emphasis"/>
    <w:basedOn w:val="DefaultParagraphFont"/>
    <w:uiPriority w:val="21"/>
    <w:qFormat/>
    <w:rsid w:val="00EF6FE5"/>
    <w:rPr>
      <w:i/>
      <w:iCs/>
      <w:color w:val="0F4761" w:themeColor="accent1" w:themeShade="BF"/>
    </w:rPr>
  </w:style>
  <w:style w:type="paragraph" w:styleId="IntenseQuote">
    <w:name w:val="Intense Quote"/>
    <w:basedOn w:val="Normal"/>
    <w:next w:val="Normal"/>
    <w:link w:val="IntenseQuoteChar"/>
    <w:uiPriority w:val="30"/>
    <w:qFormat/>
    <w:rsid w:val="00EF6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FE5"/>
    <w:rPr>
      <w:i/>
      <w:iCs/>
      <w:color w:val="0F4761" w:themeColor="accent1" w:themeShade="BF"/>
    </w:rPr>
  </w:style>
  <w:style w:type="character" w:styleId="IntenseReference">
    <w:name w:val="Intense Reference"/>
    <w:basedOn w:val="DefaultParagraphFont"/>
    <w:uiPriority w:val="32"/>
    <w:qFormat/>
    <w:rsid w:val="00EF6FE5"/>
    <w:rPr>
      <w:b/>
      <w:bCs/>
      <w:smallCaps/>
      <w:color w:val="0F4761" w:themeColor="accent1" w:themeShade="BF"/>
      <w:spacing w:val="5"/>
    </w:rPr>
  </w:style>
  <w:style w:type="character" w:styleId="Hyperlink">
    <w:name w:val="Hyperlink"/>
    <w:basedOn w:val="DefaultParagraphFont"/>
    <w:rsid w:val="00EF6FE5"/>
    <w:rPr>
      <w:color w:val="0563C1"/>
      <w:u w:val="single"/>
    </w:rPr>
  </w:style>
  <w:style w:type="paragraph" w:styleId="Header">
    <w:name w:val="header"/>
    <w:basedOn w:val="Normal"/>
    <w:link w:val="HeaderChar"/>
    <w:uiPriority w:val="99"/>
    <w:unhideWhenUsed/>
    <w:rsid w:val="00360C24"/>
    <w:pPr>
      <w:tabs>
        <w:tab w:val="center" w:pos="4513"/>
        <w:tab w:val="right" w:pos="9026"/>
      </w:tabs>
    </w:pPr>
  </w:style>
  <w:style w:type="character" w:customStyle="1" w:styleId="HeaderChar">
    <w:name w:val="Header Char"/>
    <w:basedOn w:val="DefaultParagraphFont"/>
    <w:link w:val="Header"/>
    <w:uiPriority w:val="99"/>
    <w:rsid w:val="00360C2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360C24"/>
    <w:pPr>
      <w:tabs>
        <w:tab w:val="center" w:pos="4513"/>
        <w:tab w:val="right" w:pos="9026"/>
      </w:tabs>
    </w:pPr>
  </w:style>
  <w:style w:type="character" w:customStyle="1" w:styleId="FooterChar">
    <w:name w:val="Footer Char"/>
    <w:basedOn w:val="DefaultParagraphFont"/>
    <w:link w:val="Footer"/>
    <w:uiPriority w:val="99"/>
    <w:rsid w:val="00360C24"/>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360C24"/>
    <w:pPr>
      <w:suppressAutoHyphens w:val="0"/>
      <w:overflowPunct/>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health-and-social-care-act-2008-code-of-practice-on-the-prevention-and-control-of-infections-and-related-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Emily (ABBEY HOUSE MEDICAL PRACTICE)</dc:creator>
  <cp:keywords/>
  <dc:description/>
  <cp:lastModifiedBy>KEMPSTER, Melanie (DANETRE MEDICAL PRACTICE)</cp:lastModifiedBy>
  <cp:revision>31</cp:revision>
  <dcterms:created xsi:type="dcterms:W3CDTF">2024-12-16T12:06:00Z</dcterms:created>
  <dcterms:modified xsi:type="dcterms:W3CDTF">2024-12-16T14:05:00Z</dcterms:modified>
</cp:coreProperties>
</file>